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9E4" w:rsidRDefault="003B605B" w:rsidP="003B605B">
      <w:pPr>
        <w:spacing w:line="276" w:lineRule="auto"/>
        <w:rPr>
          <w:b/>
        </w:rPr>
      </w:pPr>
      <w:r>
        <w:rPr>
          <w:b/>
        </w:rPr>
        <w:t>Nazwisko i imię</w:t>
      </w:r>
      <w:r>
        <w:t xml:space="preserve"> …………………………………..……………………………………………… </w:t>
      </w:r>
      <w:r>
        <w:rPr>
          <w:b/>
        </w:rPr>
        <w:t>Klasa V a</w:t>
      </w:r>
    </w:p>
    <w:p w:rsidR="003B605B" w:rsidRDefault="003B605B" w:rsidP="003B605B">
      <w:pPr>
        <w:spacing w:line="276" w:lineRule="auto"/>
        <w:rPr>
          <w:b/>
        </w:rPr>
      </w:pPr>
    </w:p>
    <w:p w:rsidR="003B605B" w:rsidRDefault="003B605B" w:rsidP="003B605B">
      <w:pPr>
        <w:spacing w:line="276" w:lineRule="auto"/>
        <w:rPr>
          <w:b/>
          <w:u w:val="single"/>
        </w:rPr>
      </w:pPr>
      <w:r w:rsidRPr="003B605B">
        <w:rPr>
          <w:b/>
          <w:u w:val="single"/>
        </w:rPr>
        <w:t xml:space="preserve">Zadanie 1 </w:t>
      </w:r>
    </w:p>
    <w:p w:rsidR="003B605B" w:rsidRDefault="003B605B" w:rsidP="003B605B">
      <w:pPr>
        <w:spacing w:line="276" w:lineRule="auto"/>
        <w:rPr>
          <w:i/>
        </w:rPr>
      </w:pPr>
      <w:r>
        <w:rPr>
          <w:i/>
        </w:rPr>
        <w:t>Wyjaśnij podane pojęcie:</w:t>
      </w:r>
    </w:p>
    <w:p w:rsidR="003B605B" w:rsidRDefault="003B605B" w:rsidP="003B605B">
      <w:pPr>
        <w:spacing w:line="276" w:lineRule="auto"/>
        <w:rPr>
          <w:i/>
          <w:sz w:val="10"/>
          <w:szCs w:val="10"/>
        </w:rPr>
      </w:pPr>
    </w:p>
    <w:p w:rsidR="003B605B" w:rsidRDefault="003B605B" w:rsidP="003B605B">
      <w:pPr>
        <w:spacing w:line="276" w:lineRule="auto"/>
        <w:rPr>
          <w:szCs w:val="24"/>
        </w:rPr>
      </w:pPr>
      <w:r>
        <w:rPr>
          <w:b/>
          <w:szCs w:val="24"/>
        </w:rPr>
        <w:t xml:space="preserve">Związek Pruski </w:t>
      </w:r>
      <w:r>
        <w:rPr>
          <w:szCs w:val="24"/>
        </w:rPr>
        <w:t xml:space="preserve"> - …………………………...…………………………………………………………………</w:t>
      </w:r>
    </w:p>
    <w:p w:rsidR="003B605B" w:rsidRDefault="003B605B" w:rsidP="003B605B">
      <w:pPr>
        <w:spacing w:line="276" w:lineRule="auto"/>
        <w:rPr>
          <w:szCs w:val="24"/>
        </w:rPr>
      </w:pPr>
      <w:r>
        <w:rPr>
          <w:szCs w:val="24"/>
        </w:rPr>
        <w:t>……………………………………..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..</w:t>
      </w:r>
    </w:p>
    <w:p w:rsidR="003B605B" w:rsidRPr="00E80E60" w:rsidRDefault="003B605B" w:rsidP="003B605B">
      <w:pPr>
        <w:spacing w:line="276" w:lineRule="auto"/>
        <w:rPr>
          <w:sz w:val="10"/>
          <w:szCs w:val="24"/>
        </w:rPr>
      </w:pPr>
    </w:p>
    <w:p w:rsidR="003B605B" w:rsidRDefault="003B605B" w:rsidP="003B605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2</w:t>
      </w:r>
    </w:p>
    <w:p w:rsidR="003B605B" w:rsidRDefault="003B605B" w:rsidP="003B605B">
      <w:pPr>
        <w:spacing w:line="276" w:lineRule="auto"/>
        <w:rPr>
          <w:i/>
          <w:szCs w:val="24"/>
        </w:rPr>
      </w:pPr>
      <w:r>
        <w:rPr>
          <w:i/>
          <w:szCs w:val="24"/>
        </w:rPr>
        <w:t>Przeczytaj tekst źródłowy, a następnie odpowiedz na znajdujące się poniżej pytania.</w:t>
      </w:r>
    </w:p>
    <w:p w:rsidR="003B605B" w:rsidRDefault="003B605B" w:rsidP="003B605B">
      <w:pPr>
        <w:spacing w:line="276" w:lineRule="auto"/>
        <w:rPr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36"/>
      </w:tblGrid>
      <w:tr w:rsidR="00901C15" w:rsidTr="00901C15">
        <w:tc>
          <w:tcPr>
            <w:tcW w:w="10456" w:type="dxa"/>
            <w:shd w:val="clear" w:color="auto" w:fill="FBE4D5" w:themeFill="accent2" w:themeFillTint="33"/>
          </w:tcPr>
          <w:p w:rsidR="00901C15" w:rsidRDefault="00901C15" w:rsidP="00901C15">
            <w:pPr>
              <w:spacing w:line="276" w:lineRule="auto"/>
              <w:rPr>
                <w:szCs w:val="10"/>
              </w:rPr>
            </w:pPr>
            <w:r>
              <w:rPr>
                <w:szCs w:val="10"/>
              </w:rPr>
              <w:t>W 1454 roku do Krakowa przybyli przedstawiciele Związku Pruskiego. Wśród nich był Jan Bażyński, który wygłosił mowę skierowaną do Kazimierza Jagiellończyka.</w:t>
            </w:r>
          </w:p>
          <w:p w:rsidR="00901C15" w:rsidRDefault="00901C15" w:rsidP="00901C15">
            <w:pPr>
              <w:spacing w:line="276" w:lineRule="auto"/>
              <w:rPr>
                <w:sz w:val="10"/>
                <w:szCs w:val="10"/>
              </w:rPr>
            </w:pPr>
          </w:p>
          <w:p w:rsidR="00901C15" w:rsidRDefault="00901C15" w:rsidP="00901C15">
            <w:pPr>
              <w:spacing w:line="276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Nie </w:t>
            </w:r>
            <w:proofErr w:type="spellStart"/>
            <w:r>
              <w:rPr>
                <w:i/>
                <w:szCs w:val="24"/>
              </w:rPr>
              <w:t>tajno</w:t>
            </w:r>
            <w:proofErr w:type="spellEnd"/>
            <w:r>
              <w:rPr>
                <w:i/>
                <w:szCs w:val="24"/>
              </w:rPr>
              <w:t>, miłościwy królu, tobie i twojej radzie, a podobno i narodom sąsiednim, ile krzywd i niegodziwości […] wycierpieliśmy od mistrza i zakonu pruskiego. […] Komturowie</w:t>
            </w:r>
            <w:r>
              <w:rPr>
                <w:rStyle w:val="Odwoanieprzypisudolnego"/>
                <w:i/>
                <w:szCs w:val="24"/>
              </w:rPr>
              <w:footnoteReference w:id="1"/>
            </w:r>
            <w:r>
              <w:rPr>
                <w:i/>
                <w:szCs w:val="24"/>
              </w:rPr>
              <w:t xml:space="preserve">i posiadacze zamków [nie cofali się] bez przeprowadzenia sprawy, bez złożenia sądu, zabierać nam dobra i majątki, żony […] i córki […] porywać […]. A tym, którzy się na takie krzywdy uskarżali zamiast wymierzali sprawiedliwości zdejmowano głowy [karano śmiercią] albo wydzierano mienie. </w:t>
            </w:r>
            <w:proofErr w:type="spellStart"/>
            <w:r>
              <w:rPr>
                <w:i/>
                <w:szCs w:val="24"/>
              </w:rPr>
              <w:t>Przyciśnieni</w:t>
            </w:r>
            <w:proofErr w:type="spellEnd"/>
            <w:r>
              <w:rPr>
                <w:i/>
                <w:szCs w:val="24"/>
              </w:rPr>
              <w:t xml:space="preserve"> tak wielką niedolą, uczyniliśmy wszyscy między sobą związek, abyśmy się od tylu cierpień zasłonić mogli. […] cesarz […] unieważniwszy wyrokiem swoim nasz związek, skazał nas […] na wieczne poddaństwo mistrzowi i zakonowi […]. Ten więc wyrok cesarza spowodował nas do wypowiedzenia posłuszeństwa Krzyżakom i podniesienia przeciw nim oręża […]. W ciągu kilku dni orężem naszym przeszło dwadzieścia zdobyliśmy zamków, jako: Toruń, Gdańsk, Elbląg, Grudziądz, Lidzbark, Golub, Kowalewo, Gniew, Świecie, Papowo, Tucholę, Pasłęk, Królewiec […], Brodnicę, Chełmno, Działdowo, […], które naszej uległy władzy. […] przeto udajemy się do Majestatu twego z prośbą, abyś raczył przyjąć za twoich i królestwa twego wieczystych poddanych i hołdowników, i wcielił do Królestwa Polskiego, od którego jesteśmy oderwani.</w:t>
            </w:r>
          </w:p>
          <w:p w:rsidR="00901C15" w:rsidRDefault="00901C15" w:rsidP="00901C15">
            <w:pPr>
              <w:spacing w:line="276" w:lineRule="auto"/>
              <w:rPr>
                <w:i/>
                <w:sz w:val="10"/>
                <w:szCs w:val="10"/>
              </w:rPr>
            </w:pPr>
          </w:p>
          <w:p w:rsidR="00901C15" w:rsidRPr="00901C15" w:rsidRDefault="00901C15" w:rsidP="00901C15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Źródło: Górski K., </w:t>
            </w:r>
            <w:r>
              <w:rPr>
                <w:i/>
                <w:sz w:val="20"/>
                <w:szCs w:val="20"/>
              </w:rPr>
              <w:t xml:space="preserve">Związek Pruski i poddanie się Prus Polsce, </w:t>
            </w:r>
            <w:r>
              <w:rPr>
                <w:sz w:val="20"/>
                <w:szCs w:val="20"/>
              </w:rPr>
              <w:t>Poznań 1949, s. 30 – 31</w:t>
            </w:r>
          </w:p>
        </w:tc>
      </w:tr>
    </w:tbl>
    <w:p w:rsidR="00313BB3" w:rsidRDefault="00313BB3" w:rsidP="00313BB3">
      <w:pPr>
        <w:spacing w:line="276" w:lineRule="auto"/>
        <w:jc w:val="right"/>
        <w:rPr>
          <w:sz w:val="10"/>
          <w:szCs w:val="10"/>
        </w:rPr>
      </w:pPr>
    </w:p>
    <w:p w:rsidR="00313BB3" w:rsidRDefault="00313BB3" w:rsidP="00313BB3">
      <w:pPr>
        <w:spacing w:line="276" w:lineRule="auto"/>
        <w:rPr>
          <w:szCs w:val="24"/>
        </w:rPr>
      </w:pPr>
      <w:r>
        <w:rPr>
          <w:szCs w:val="24"/>
        </w:rPr>
        <w:t xml:space="preserve">1. </w:t>
      </w:r>
      <w:r>
        <w:rPr>
          <w:szCs w:val="24"/>
          <w:u w:val="single"/>
        </w:rPr>
        <w:t>Wymień powody wybuchu powstania antykrzyżackiego.</w:t>
      </w:r>
    </w:p>
    <w:p w:rsidR="00313BB3" w:rsidRDefault="00313BB3" w:rsidP="00313BB3">
      <w:pPr>
        <w:spacing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13BB3" w:rsidRPr="00E80E60" w:rsidRDefault="00313BB3" w:rsidP="00313BB3">
      <w:pPr>
        <w:spacing w:line="276" w:lineRule="auto"/>
        <w:rPr>
          <w:sz w:val="10"/>
          <w:szCs w:val="24"/>
        </w:rPr>
      </w:pPr>
    </w:p>
    <w:p w:rsidR="00313BB3" w:rsidRDefault="00313BB3" w:rsidP="00313BB3">
      <w:pPr>
        <w:spacing w:line="276" w:lineRule="auto"/>
        <w:rPr>
          <w:szCs w:val="24"/>
          <w:u w:val="single"/>
        </w:rPr>
      </w:pPr>
      <w:r>
        <w:rPr>
          <w:szCs w:val="24"/>
        </w:rPr>
        <w:t xml:space="preserve">2. </w:t>
      </w:r>
      <w:r>
        <w:rPr>
          <w:szCs w:val="24"/>
          <w:u w:val="single"/>
        </w:rPr>
        <w:t>Wyjaśnij, o co prosi przywódca Związku Pruskiego.</w:t>
      </w:r>
    </w:p>
    <w:p w:rsidR="00313BB3" w:rsidRDefault="00313BB3" w:rsidP="00313BB3">
      <w:pPr>
        <w:spacing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80E60" w:rsidRPr="00E80E60" w:rsidRDefault="00E80E60" w:rsidP="00313BB3">
      <w:pPr>
        <w:spacing w:line="276" w:lineRule="auto"/>
        <w:rPr>
          <w:b/>
          <w:sz w:val="10"/>
          <w:szCs w:val="24"/>
          <w:u w:val="single"/>
        </w:rPr>
      </w:pPr>
    </w:p>
    <w:p w:rsidR="00313BB3" w:rsidRDefault="00313BB3" w:rsidP="00313BB3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Zadanie 3 </w:t>
      </w:r>
    </w:p>
    <w:p w:rsidR="00313BB3" w:rsidRDefault="00313BB3" w:rsidP="00313BB3">
      <w:pPr>
        <w:spacing w:line="276" w:lineRule="auto"/>
        <w:rPr>
          <w:i/>
          <w:szCs w:val="24"/>
        </w:rPr>
      </w:pPr>
      <w:r w:rsidRPr="00901C15">
        <w:rPr>
          <w:i/>
          <w:szCs w:val="24"/>
        </w:rPr>
        <w:t xml:space="preserve">Na podstawie podanego poniżej </w:t>
      </w:r>
      <w:r w:rsidR="00901C15">
        <w:rPr>
          <w:i/>
          <w:szCs w:val="24"/>
        </w:rPr>
        <w:t xml:space="preserve">fragmentu tekstu opisz, jakie siły wojskowe zgromadziły Polska i stany pruskie przygotowując się do walki z Zakonem Krzyżackim. </w:t>
      </w:r>
      <w:r w:rsidRPr="00901C15">
        <w:rPr>
          <w:i/>
          <w:szCs w:val="24"/>
        </w:rPr>
        <w:t xml:space="preserve"> </w:t>
      </w:r>
    </w:p>
    <w:p w:rsidR="00901C15" w:rsidRPr="00E80E60" w:rsidRDefault="00901C15" w:rsidP="00901C15">
      <w:pPr>
        <w:tabs>
          <w:tab w:val="left" w:pos="-5670"/>
        </w:tabs>
        <w:spacing w:line="276" w:lineRule="auto"/>
        <w:rPr>
          <w:sz w:val="10"/>
        </w:rPr>
      </w:pPr>
      <w:r w:rsidRPr="00E80E60">
        <w:rPr>
          <w:sz w:val="10"/>
        </w:rPr>
        <w:lastRenderedPageBreak/>
        <w:tab/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0436"/>
      </w:tblGrid>
      <w:tr w:rsidR="00901C15" w:rsidTr="00901C15">
        <w:tc>
          <w:tcPr>
            <w:tcW w:w="10456" w:type="dxa"/>
            <w:shd w:val="clear" w:color="auto" w:fill="E2EFD9" w:themeFill="accent6" w:themeFillTint="33"/>
          </w:tcPr>
          <w:p w:rsidR="00901C15" w:rsidRDefault="00901C15" w:rsidP="00901C15">
            <w:pPr>
              <w:tabs>
                <w:tab w:val="left" w:pos="-5670"/>
              </w:tabs>
              <w:spacing w:line="276" w:lineRule="auto"/>
            </w:pPr>
            <w:r>
              <w:t xml:space="preserve">           Walkę zbrojną z zakonem krzyżackim toczyć miały polskie siły zbrojne ukształtowane w czasach piastowskich. Główną ich siłę stanowiło </w:t>
            </w:r>
            <w:r>
              <w:rPr>
                <w:b/>
              </w:rPr>
              <w:t>pospolite ruszenie</w:t>
            </w:r>
            <w:r>
              <w:t xml:space="preserve"> szlachty. W wyprawach pospolitego ruszenia brali też udział mieszczanie, a także chłopi. Miasta dostarczały wozów z końmi, eskorty oraz wozów z żywnością. Łącznie pod bronią stanąć mogło około 30.000 jazdy. Dowództwo naczelne sprawował sam król. </w:t>
            </w:r>
          </w:p>
          <w:p w:rsidR="00901C15" w:rsidRDefault="00901C15" w:rsidP="00901C15">
            <w:pPr>
              <w:tabs>
                <w:tab w:val="left" w:pos="-5670"/>
              </w:tabs>
              <w:spacing w:line="276" w:lineRule="auto"/>
            </w:pPr>
            <w:r>
              <w:tab/>
              <w:t xml:space="preserve">Groźną siłą uderzeniową była nadal </w:t>
            </w:r>
            <w:r>
              <w:rPr>
                <w:b/>
              </w:rPr>
              <w:t>ciężka jazda rycerska.</w:t>
            </w:r>
            <w:r>
              <w:t xml:space="preserve">, która w szyku bojowym, tzw. kolumnowym lub klinowym, ruszała to ataku uformowana w zwężającą się ku przodowi kolumnę, złożoną z kilkunastu lub więcej szeregów. Jej czoło stanowiły ciężkozbrojne chorągwie, po bokach walczyły oddziały strzelcze uzbrojone w broń miotającą, tj. kusze i łuki. </w:t>
            </w:r>
          </w:p>
          <w:p w:rsidR="00901C15" w:rsidRDefault="00901C15" w:rsidP="00901C15">
            <w:pPr>
              <w:tabs>
                <w:tab w:val="left" w:pos="-5670"/>
              </w:tabs>
              <w:spacing w:line="276" w:lineRule="auto"/>
            </w:pPr>
            <w:r>
              <w:tab/>
              <w:t xml:space="preserve">W armii polskiej w połowie XV stulecia używano już artylerii ogniowej. Pojawiła się też w wojsku polskim ręczna broń palna – </w:t>
            </w:r>
            <w:r>
              <w:rPr>
                <w:b/>
              </w:rPr>
              <w:t>hakownica</w:t>
            </w:r>
            <w:r>
              <w:t xml:space="preserve">, tj. lufa żelazna oprawiona w drewniany trzon. Artyleria posługiwała się prochem złożonym z siarki, saletry i węgla drzewnego. </w:t>
            </w:r>
          </w:p>
          <w:p w:rsidR="00901C15" w:rsidRDefault="00901C15" w:rsidP="00901C15">
            <w:pPr>
              <w:tabs>
                <w:tab w:val="left" w:pos="-5670"/>
              </w:tabs>
              <w:spacing w:line="276" w:lineRule="auto"/>
            </w:pPr>
            <w:r>
              <w:tab/>
              <w:t xml:space="preserve">Wspierające wojsko polskie siły stanów pruskich także dysponowały oddziałami konnego rycerstwa. </w:t>
            </w:r>
          </w:p>
          <w:p w:rsidR="00901C15" w:rsidRDefault="00901C15" w:rsidP="00901C15">
            <w:pPr>
              <w:tabs>
                <w:tab w:val="left" w:pos="-5670"/>
              </w:tabs>
              <w:spacing w:line="276" w:lineRule="auto"/>
            </w:pPr>
            <w:r>
              <w:tab/>
              <w:t xml:space="preserve">Przyjmuje się, że łącznie stany pruskie mogły wystawić około 16.000 zbrojnych oraz kilka tysięcy chłopskiej piechoty. </w:t>
            </w:r>
          </w:p>
        </w:tc>
      </w:tr>
    </w:tbl>
    <w:p w:rsidR="00901C15" w:rsidRDefault="00901C15" w:rsidP="00901C15">
      <w:pPr>
        <w:tabs>
          <w:tab w:val="left" w:pos="-5670"/>
        </w:tabs>
        <w:spacing w:line="276" w:lineRule="auto"/>
        <w:rPr>
          <w:sz w:val="10"/>
          <w:szCs w:val="10"/>
        </w:rPr>
      </w:pPr>
    </w:p>
    <w:p w:rsidR="00901C15" w:rsidRPr="00901C15" w:rsidRDefault="00901C15" w:rsidP="00901C15">
      <w:pPr>
        <w:tabs>
          <w:tab w:val="left" w:pos="-5670"/>
        </w:tabs>
        <w:spacing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1C15" w:rsidRPr="00901C15" w:rsidRDefault="00901C15" w:rsidP="00901C15">
      <w:pPr>
        <w:tabs>
          <w:tab w:val="left" w:pos="-5670"/>
        </w:tabs>
        <w:spacing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1C15" w:rsidRDefault="00901C15" w:rsidP="00901C15">
      <w:pPr>
        <w:tabs>
          <w:tab w:val="left" w:pos="-5670"/>
        </w:tabs>
        <w:spacing w:line="276" w:lineRule="auto"/>
      </w:pPr>
    </w:p>
    <w:p w:rsidR="00901C15" w:rsidRDefault="00901C15" w:rsidP="00901C15">
      <w:pPr>
        <w:spacing w:line="276" w:lineRule="auto"/>
        <w:jc w:val="center"/>
        <w:rPr>
          <w:b/>
          <w:color w:val="000000" w:themeColor="text1"/>
          <w:sz w:val="28"/>
          <w:szCs w:val="24"/>
          <w:u w:val="single"/>
        </w:rPr>
      </w:pPr>
      <w:r w:rsidRPr="00901C15">
        <w:rPr>
          <w:b/>
          <w:color w:val="000000" w:themeColor="text1"/>
          <w:sz w:val="28"/>
          <w:szCs w:val="24"/>
          <w:u w:val="single"/>
        </w:rPr>
        <w:t>CZĘŚĆ II – PRACA Z MAPĄ KONTUROWĄ</w:t>
      </w:r>
    </w:p>
    <w:p w:rsidR="00901C15" w:rsidRPr="009A608D" w:rsidRDefault="00901C15" w:rsidP="00901C15">
      <w:pPr>
        <w:spacing w:line="276" w:lineRule="auto"/>
        <w:jc w:val="center"/>
        <w:rPr>
          <w:b/>
          <w:color w:val="000000" w:themeColor="text1"/>
          <w:sz w:val="18"/>
          <w:szCs w:val="24"/>
          <w:u w:val="single"/>
        </w:rPr>
      </w:pPr>
    </w:p>
    <w:p w:rsidR="00901C15" w:rsidRDefault="00901C15" w:rsidP="00901C15">
      <w:pPr>
        <w:spacing w:line="276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ab/>
        <w:t xml:space="preserve">Poniżej znajduje się mapa „Polska i Litwa w XIV – XV w.” </w:t>
      </w:r>
      <w:r w:rsidR="001421CD">
        <w:rPr>
          <w:color w:val="000000" w:themeColor="text1"/>
          <w:szCs w:val="24"/>
        </w:rPr>
        <w:t xml:space="preserve">wykonaj znajdujące się poniżej zadania. Bardzo proszę skorzystaj z mapy znajdującej się w Twoim podręczniku na stronie 220. </w:t>
      </w:r>
    </w:p>
    <w:p w:rsidR="001421CD" w:rsidRDefault="001421CD" w:rsidP="00901C15">
      <w:pPr>
        <w:spacing w:line="276" w:lineRule="auto"/>
        <w:rPr>
          <w:color w:val="000000" w:themeColor="text1"/>
          <w:szCs w:val="24"/>
        </w:rPr>
      </w:pPr>
    </w:p>
    <w:p w:rsidR="001421CD" w:rsidRDefault="001421CD" w:rsidP="001421CD">
      <w:pPr>
        <w:pStyle w:val="Akapitzlist"/>
        <w:numPr>
          <w:ilvl w:val="0"/>
          <w:numId w:val="1"/>
        </w:numPr>
        <w:spacing w:line="276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Oznacz na mapie literą A obszar Żmudzi, literą B – Ziemię Dobrzyńską, C – Mazowsze (wówczas lenno Polski).</w:t>
      </w:r>
    </w:p>
    <w:p w:rsidR="001421CD" w:rsidRDefault="001421CD" w:rsidP="001421CD">
      <w:pPr>
        <w:pStyle w:val="Akapitzlist"/>
        <w:numPr>
          <w:ilvl w:val="0"/>
          <w:numId w:val="1"/>
        </w:numPr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Oznacz na mapie kolorem (np. fioletowym) granice Wielkiego Księstwa Litewskiego około 1385 roku. </w:t>
      </w:r>
    </w:p>
    <w:p w:rsidR="001421CD" w:rsidRDefault="001421CD" w:rsidP="001421CD">
      <w:pPr>
        <w:pStyle w:val="Akapitzlist"/>
        <w:spacing w:line="276" w:lineRule="auto"/>
        <w:jc w:val="left"/>
        <w:rPr>
          <w:i/>
          <w:color w:val="000000" w:themeColor="text1"/>
          <w:szCs w:val="24"/>
        </w:rPr>
      </w:pPr>
      <w:r w:rsidRPr="001421CD">
        <w:rPr>
          <w:i/>
          <w:color w:val="000000" w:themeColor="text1"/>
          <w:szCs w:val="24"/>
        </w:rPr>
        <w:t>Jeżeli użyjesz innego koloru, pamiętaj, by umieścić informację o tym, w utworzonej przez Ciebie legendzie pod mapą!</w:t>
      </w:r>
    </w:p>
    <w:p w:rsidR="001421CD" w:rsidRDefault="001421CD" w:rsidP="001421CD">
      <w:pPr>
        <w:pStyle w:val="Akapitzlist"/>
        <w:numPr>
          <w:ilvl w:val="0"/>
          <w:numId w:val="1"/>
        </w:numPr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Podkreśl na mapie kolorem czerwonym (lub innym – pamiętaj by informacje o kolorze umieścić w legendzie) cztery miejsca, które są związane z wojną trzynastoletnią.</w:t>
      </w:r>
    </w:p>
    <w:p w:rsidR="001421CD" w:rsidRDefault="001421CD" w:rsidP="001421CD">
      <w:pPr>
        <w:pStyle w:val="Akapitzlist"/>
        <w:numPr>
          <w:ilvl w:val="0"/>
          <w:numId w:val="1"/>
        </w:numPr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Oznacz na mapie kolorem brązowym (lub innym – legenda) granice Prus Zakonnych przed wojną trzynastoletnią. </w:t>
      </w:r>
    </w:p>
    <w:p w:rsidR="001421CD" w:rsidRDefault="001421CD" w:rsidP="001421CD">
      <w:pPr>
        <w:pStyle w:val="Akapitzlist"/>
        <w:numPr>
          <w:ilvl w:val="0"/>
          <w:numId w:val="1"/>
        </w:numPr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Zakreskuj na mapie liniami pionowymi te ziemie, które Polska odzyskała po II pokoju toruńskim. Niżej podaj rok podpisania tego pokoju i nazwy ziem, które Polska odzyskała:</w:t>
      </w:r>
    </w:p>
    <w:p w:rsidR="001421CD" w:rsidRDefault="001421CD" w:rsidP="001421CD">
      <w:pPr>
        <w:pStyle w:val="Akapitzlist"/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Rok: …………………………………………………………………………………………………….</w:t>
      </w:r>
    </w:p>
    <w:p w:rsidR="001421CD" w:rsidRDefault="001421CD" w:rsidP="001421CD">
      <w:pPr>
        <w:pStyle w:val="Akapitzlist"/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Nazwy ziem: ……………………………………………………………………………………………</w:t>
      </w:r>
    </w:p>
    <w:p w:rsidR="001421CD" w:rsidRDefault="001421CD" w:rsidP="001421CD">
      <w:pPr>
        <w:pStyle w:val="Akapitzlist"/>
        <w:spacing w:line="276" w:lineRule="auto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…………………………………………………………………………………………………………..</w:t>
      </w:r>
    </w:p>
    <w:p w:rsidR="001421CD" w:rsidRDefault="001421CD" w:rsidP="001421CD">
      <w:pPr>
        <w:pStyle w:val="Akapitzlist"/>
        <w:spacing w:line="276" w:lineRule="auto"/>
        <w:jc w:val="left"/>
        <w:rPr>
          <w:color w:val="000000" w:themeColor="text1"/>
          <w:szCs w:val="24"/>
        </w:rPr>
      </w:pPr>
    </w:p>
    <w:p w:rsidR="001421CD" w:rsidRPr="001421CD" w:rsidRDefault="002A7C53" w:rsidP="002A7C53">
      <w:pPr>
        <w:pStyle w:val="Akapitzlist"/>
        <w:spacing w:line="276" w:lineRule="auto"/>
        <w:ind w:left="0"/>
        <w:jc w:val="center"/>
        <w:rPr>
          <w:color w:val="000000" w:themeColor="text1"/>
          <w:szCs w:val="24"/>
        </w:rPr>
      </w:pPr>
      <w:r w:rsidRPr="002A7C53">
        <w:rPr>
          <w:noProof/>
          <w:color w:val="000000" w:themeColor="text1"/>
          <w:szCs w:val="24"/>
          <w:lang w:eastAsia="pl-PL"/>
        </w:rPr>
        <w:drawing>
          <wp:inline distT="0" distB="0" distL="0" distR="0">
            <wp:extent cx="6788213" cy="7077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78" cy="70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1CD" w:rsidRPr="001421CD" w:rsidSect="00E80E60">
      <w:headerReference w:type="default" r:id="rId9"/>
      <w:footerReference w:type="default" r:id="rId10"/>
      <w:pgSz w:w="11906" w:h="16838"/>
      <w:pgMar w:top="720" w:right="720" w:bottom="568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C15" w:rsidRDefault="00901C15" w:rsidP="003B605B">
      <w:r>
        <w:separator/>
      </w:r>
    </w:p>
  </w:endnote>
  <w:endnote w:type="continuationSeparator" w:id="0">
    <w:p w:rsidR="00901C15" w:rsidRDefault="00901C15" w:rsidP="003B6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1958118"/>
      <w:docPartObj>
        <w:docPartGallery w:val="Page Numbers (Bottom of Page)"/>
        <w:docPartUnique/>
      </w:docPartObj>
    </w:sdtPr>
    <w:sdtEndPr/>
    <w:sdtContent>
      <w:p w:rsidR="00901C15" w:rsidRDefault="00901C15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75F94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901C15" w:rsidRDefault="00901C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C15" w:rsidRDefault="00901C15" w:rsidP="003B605B">
      <w:r>
        <w:separator/>
      </w:r>
    </w:p>
  </w:footnote>
  <w:footnote w:type="continuationSeparator" w:id="0">
    <w:p w:rsidR="00901C15" w:rsidRDefault="00901C15" w:rsidP="003B605B">
      <w:r>
        <w:continuationSeparator/>
      </w:r>
    </w:p>
  </w:footnote>
  <w:footnote w:id="1">
    <w:p w:rsidR="00901C15" w:rsidRDefault="00901C15" w:rsidP="00901C15">
      <w:pPr>
        <w:pStyle w:val="Tekstprzypisudolnego"/>
      </w:pPr>
      <w:r>
        <w:rPr>
          <w:rStyle w:val="Odwoanieprzypisudolnego"/>
        </w:rPr>
        <w:footnoteRef/>
      </w:r>
      <w:r>
        <w:t xml:space="preserve"> Komtur – tu: zwierzchnik części terytorium w państwie krzyżackim określanej jako komturia.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C15" w:rsidRDefault="00901C1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0</wp:posOffset>
              </wp:positionH>
              <wp:positionV relativeFrom="page">
                <wp:posOffset>338455</wp:posOffset>
              </wp:positionV>
              <wp:extent cx="5950039" cy="270457"/>
              <wp:effectExtent l="0" t="0" r="0" b="0"/>
              <wp:wrapSquare wrapText="bothSides"/>
              <wp:docPr id="197" name="Prostokąt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="Times New Roman"/>
                              <w:b/>
                              <w:caps/>
                              <w:color w:val="000000" w:themeColor="text1"/>
                              <w:sz w:val="28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alias w:val="Tytuł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901C15" w:rsidRPr="003B605B" w:rsidRDefault="00901C15">
                              <w:pPr>
                                <w:pStyle w:val="Nagwek"/>
                                <w:jc w:val="center"/>
                                <w:rPr>
                                  <w:rFonts w:cs="Times New Roman"/>
                                  <w:b/>
                                  <w:caps/>
                                  <w:color w:val="000000" w:themeColor="text1"/>
                                  <w:sz w:val="28"/>
                                </w:rPr>
                              </w:pPr>
                              <w:r w:rsidRPr="003B605B">
                                <w:rPr>
                                  <w:rFonts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KARTa pracy – wojna trzynastoletnia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ostokąt 197" o:spid="_x0000_s1026" style="position:absolute;left:0;text-align:left;margin-left:0;margin-top:26.65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" o:allowoverlap="f" fillcolor="#f7caac [1301]" stroked="f" strokeweight="1pt">
              <v:textbox style="mso-fit-shape-to-text:t">
                <w:txbxContent>
                  <w:sdt>
                    <w:sdtPr>
                      <w:rPr>
                        <w:rFonts w:cs="Times New Roman"/>
                        <w:b/>
                        <w:caps/>
                        <w:color w:val="000000" w:themeColor="text1"/>
                        <w:sz w:val="28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</w:rPr>
                      <w:alias w:val="Tytuł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901C15" w:rsidRPr="003B605B" w:rsidRDefault="00901C15">
                        <w:pPr>
                          <w:pStyle w:val="Nagwek"/>
                          <w:jc w:val="center"/>
                          <w:rPr>
                            <w:rFonts w:cs="Times New Roman"/>
                            <w:b/>
                            <w:caps/>
                            <w:color w:val="000000" w:themeColor="text1"/>
                            <w:sz w:val="28"/>
                          </w:rPr>
                        </w:pPr>
                        <w:r w:rsidRPr="003B605B">
                          <w:rPr>
                            <w:rFonts w:cs="Times New Roman"/>
                            <w:b/>
                            <w:caps/>
                            <w:color w:val="000000" w:themeColor="text1"/>
                            <w:sz w:val="28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KARTa pracy – wojna trzynastoletnia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E51AE"/>
    <w:multiLevelType w:val="hybridMultilevel"/>
    <w:tmpl w:val="A00C8A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046D7"/>
    <w:multiLevelType w:val="hybridMultilevel"/>
    <w:tmpl w:val="1902E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F2B22"/>
    <w:multiLevelType w:val="hybridMultilevel"/>
    <w:tmpl w:val="059CA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D5BC5"/>
    <w:multiLevelType w:val="hybridMultilevel"/>
    <w:tmpl w:val="A4F60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F4C40"/>
    <w:multiLevelType w:val="hybridMultilevel"/>
    <w:tmpl w:val="4D02D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B281B"/>
    <w:multiLevelType w:val="hybridMultilevel"/>
    <w:tmpl w:val="A6C2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5B"/>
    <w:rsid w:val="001421CD"/>
    <w:rsid w:val="002A7C53"/>
    <w:rsid w:val="00313BB3"/>
    <w:rsid w:val="00375F94"/>
    <w:rsid w:val="003B605B"/>
    <w:rsid w:val="005B09E4"/>
    <w:rsid w:val="00901C15"/>
    <w:rsid w:val="009A608D"/>
    <w:rsid w:val="00E8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9AC83"/>
  <w15:chartTrackingRefBased/>
  <w15:docId w15:val="{63597335-C332-40A1-AFC0-0A4AB796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605B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60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605B"/>
  </w:style>
  <w:style w:type="paragraph" w:styleId="Stopka">
    <w:name w:val="footer"/>
    <w:basedOn w:val="Normalny"/>
    <w:link w:val="StopkaZnak"/>
    <w:uiPriority w:val="99"/>
    <w:unhideWhenUsed/>
    <w:rsid w:val="003B60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605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605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605B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605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3B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3BB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3BB3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3B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3BB3"/>
    <w:rPr>
      <w:rFonts w:ascii="Times New Roman" w:hAnsi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3B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BB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13BB3"/>
    <w:pPr>
      <w:ind w:left="720"/>
      <w:contextualSpacing/>
    </w:pPr>
  </w:style>
  <w:style w:type="table" w:styleId="Tabela-Siatka">
    <w:name w:val="Table Grid"/>
    <w:basedOn w:val="Standardowy"/>
    <w:uiPriority w:val="39"/>
    <w:rsid w:val="00901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C3B0A-A113-4FFB-B81E-1658935D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793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pracy – wojna trzynastoletnia</vt:lpstr>
    </vt:vector>
  </TitlesOfParts>
  <Company>Szkoła Podstawowa w Jeleniewie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pracy – wojna trzynastoletnia</dc:title>
  <dc:subject/>
  <dc:creator>Wicedyrektor</dc:creator>
  <cp:keywords/>
  <dc:description/>
  <cp:lastModifiedBy>Wicedyrektor</cp:lastModifiedBy>
  <cp:revision>4</cp:revision>
  <cp:lastPrinted>2020-05-14T10:49:00Z</cp:lastPrinted>
  <dcterms:created xsi:type="dcterms:W3CDTF">2020-05-14T08:49:00Z</dcterms:created>
  <dcterms:modified xsi:type="dcterms:W3CDTF">2020-05-14T10:51:00Z</dcterms:modified>
</cp:coreProperties>
</file>